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936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0"/>
        <w:gridCol w:w="2158"/>
        <w:gridCol w:w="1083"/>
        <w:gridCol w:w="1620"/>
        <w:gridCol w:w="3420"/>
      </w:tblGrid>
      <w:tr>
        <w:trPr/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Številka:</w:t>
            </w:r>
          </w:p>
        </w:tc>
        <w:tc>
          <w:tcPr>
            <w:tcW w:w="2158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43001-28/2021-05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>
        <w:trPr/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Datum:</w:t>
            </w:r>
          </w:p>
        </w:tc>
        <w:tc>
          <w:tcPr>
            <w:tcW w:w="2158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25.03.2021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2431-21-000210/0</w:t>
            </w:r>
          </w:p>
        </w:tc>
      </w:tr>
    </w:tbl>
    <w:p>
      <w:pPr>
        <w:pStyle w:val="BodyText2"/>
        <w:ind w:left="-181" w:right="-210" w:hanging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Endnotetext"/>
        <w:spacing w:before="240" w:after="0"/>
        <w:jc w:val="center"/>
        <w:rPr>
          <w:rFonts w:ascii="Tahoma" w:hAnsi="Tahoma" w:cs="Tahoma"/>
          <w:b/>
          <w:b/>
          <w:spacing w:val="20"/>
          <w:szCs w:val="20"/>
        </w:rPr>
      </w:pPr>
      <w:r>
        <w:rPr>
          <w:rFonts w:cs="Tahoma" w:ascii="Tahoma" w:hAnsi="Tahoma"/>
          <w:b/>
          <w:spacing w:val="20"/>
          <w:szCs w:val="20"/>
        </w:rPr>
        <w:t xml:space="preserve">POJASNILA RAZPISNE DOKUMENTACIJE </w:t>
      </w:r>
    </w:p>
    <w:p>
      <w:pPr>
        <w:pStyle w:val="Endnotetext"/>
        <w:jc w:val="center"/>
        <w:rPr>
          <w:rFonts w:ascii="Tahoma" w:hAnsi="Tahoma" w:cs="Tahoma"/>
          <w:b/>
          <w:b/>
          <w:spacing w:val="20"/>
          <w:szCs w:val="20"/>
        </w:rPr>
      </w:pPr>
      <w:r>
        <w:rPr>
          <w:rFonts w:cs="Tahoma" w:ascii="Tahoma" w:hAnsi="Tahoma"/>
          <w:b/>
          <w:spacing w:val="20"/>
          <w:szCs w:val="20"/>
        </w:rPr>
        <w:t xml:space="preserve">za oddajo javnega naročila </w:t>
      </w:r>
    </w:p>
    <w:p>
      <w:pPr>
        <w:pStyle w:val="Endnotetex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/>
        <w:tc>
          <w:tcPr>
            <w:tcW w:w="9288" w:type="dxa"/>
            <w:tcBorders/>
            <w:shd w:fill="auto" w:val="clear"/>
          </w:tcPr>
          <w:p>
            <w:pPr>
              <w:pStyle w:val="Endnotetext"/>
              <w:jc w:val="center"/>
              <w:rPr>
                <w:rFonts w:ascii="Tahoma" w:hAnsi="Tahoma" w:cs="Tahoma"/>
                <w:b/>
                <w:b/>
                <w:szCs w:val="20"/>
              </w:rPr>
            </w:pPr>
            <w:r>
              <w:rPr>
                <w:rFonts w:cs="Tahoma" w:ascii="Tahoma" w:hAnsi="Tahoma"/>
                <w:b/>
                <w:szCs w:val="20"/>
              </w:rPr>
              <w:t>Rekonstrukcija državne ceste  R1 - 229/1286 Rogoznica – Senarska  od km 0,416 do km 0,877 (odsek III)</w:t>
            </w:r>
          </w:p>
        </w:tc>
      </w:tr>
    </w:tbl>
    <w:p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numPr>
          <w:ilvl w:val="0"/>
          <w:numId w:val="0"/>
        </w:numPr>
        <w:spacing w:before="128" w:after="128"/>
        <w:outlineLvl w:val="3"/>
        <w:rPr>
          <w:rFonts w:ascii="Tahoma" w:hAnsi="Tahoma" w:cs="Tahoma"/>
          <w:b/>
          <w:b/>
          <w:color w:val="333333"/>
          <w:sz w:val="20"/>
          <w:szCs w:val="20"/>
          <w:lang w:eastAsia="sl-SI"/>
        </w:rPr>
      </w:pPr>
      <w:r>
        <w:rPr>
          <w:rFonts w:cs="Tahoma" w:ascii="Tahoma" w:hAnsi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>
      <w:pPr>
        <w:pStyle w:val="Endnotetex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color w:val="333333"/>
          <w:szCs w:val="20"/>
          <w:shd w:fill="FFFFFF" w:val="clear"/>
        </w:rPr>
        <w:t>Datum prejema: 25.03.2021   13:14</w:t>
      </w:r>
    </w:p>
    <w:p>
      <w:pPr>
        <w:pStyle w:val="BodyText2"/>
        <w:widowControl w:val="false"/>
        <w:spacing w:lineRule="atLeast" w:line="254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  <w:t>Vprašanje:</w:t>
      </w:r>
    </w:p>
    <w:p>
      <w:pPr>
        <w:pStyle w:val="Normal"/>
        <w:widowControl w:val="false"/>
        <w:spacing w:lineRule="atLeast" w:line="254" w:before="6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color w:val="333333"/>
          <w:szCs w:val="20"/>
          <w:shd w:fill="FFFFFF" w:val="clear"/>
        </w:rPr>
        <w:t>Pozivamo vas, da spremenite referenčne zahteve za podjetje in vodjo del tako da so v skladu z ZJN-3, torej sorazmerni projektu, ki se bo izvajal.</w:t>
      </w:r>
      <w:r>
        <w:rPr>
          <w:rFonts w:cs="Tahoma" w:ascii="Tahoma" w:hAnsi="Tahoma"/>
          <w:color w:val="333333"/>
          <w:szCs w:val="20"/>
        </w:rPr>
        <w:br/>
      </w:r>
      <w:r>
        <w:rPr>
          <w:rFonts w:cs="Tahoma" w:ascii="Tahoma" w:hAnsi="Tahoma"/>
          <w:color w:val="333333"/>
          <w:szCs w:val="20"/>
          <w:shd w:fill="FFFFFF" w:val="clear"/>
        </w:rPr>
        <w:t>Zahtevate eno referenco z izgradnjo ceste dolžine vsaj 500 m in izgradnjo vodovoda dolžine vsaj 300 m. Izvajala se bodo dela rekonstrukcije ceste dolžine cca. 460 m in vodovoda dolžine cca. 570 m. Povzeto, zahtevate referenco za daljšo dolžine ceste kakor se bo izvajalo, kar ni skladno z načelom sorazmernosti. Pozivamo vas, da znižate dolžino zahtevane reference za cesto na vsaj toliko kot je zahtevana dolžina za vodovod.</w:t>
      </w:r>
      <w:r>
        <w:rPr>
          <w:rFonts w:cs="Tahoma" w:ascii="Tahoma" w:hAnsi="Tahoma"/>
          <w:color w:val="333333"/>
          <w:szCs w:val="20"/>
        </w:rPr>
        <w:br/>
      </w:r>
      <w:r>
        <w:rPr>
          <w:rFonts w:cs="Tahoma" w:ascii="Tahoma" w:hAnsi="Tahoma"/>
          <w:color w:val="333333"/>
          <w:szCs w:val="20"/>
          <w:shd w:fill="FFFFFF" w:val="clear"/>
        </w:rPr>
        <w:t>Lep pozdrav!</w:t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  <w:t>Odgovor:</w:t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Endnotetext"/>
        <w:rPr>
          <w:rFonts w:ascii="Tahoma" w:hAnsi="Tahoma" w:cs="Tahoma"/>
          <w:sz w:val="20"/>
          <w:szCs w:val="20"/>
        </w:rPr>
      </w:pPr>
      <w:bookmarkStart w:id="0" w:name="__DdeLink__197_2038997898"/>
      <w:r>
        <w:rPr>
          <w:rFonts w:cs="Tahoma" w:ascii="Tahoma" w:hAnsi="Tahoma"/>
          <w:sz w:val="20"/>
          <w:szCs w:val="20"/>
        </w:rPr>
        <w:t xml:space="preserve">Spremeni se 4 alineja točke </w:t>
      </w:r>
      <w:r>
        <w:rPr>
          <w:rFonts w:cs="Tahoma" w:ascii="Tahoma" w:hAnsi="Tahoma"/>
          <w:b/>
          <w:bCs/>
          <w:sz w:val="20"/>
          <w:szCs w:val="20"/>
        </w:rPr>
        <w:t>3.2.3.3</w:t>
      </w:r>
      <w:r>
        <w:rPr>
          <w:rFonts w:cs="Tahoma" w:ascii="Tahoma" w:hAnsi="Tahoma"/>
          <w:sz w:val="20"/>
          <w:szCs w:val="20"/>
        </w:rPr>
        <w:t xml:space="preserve"> Navodil </w:t>
      </w:r>
      <w:bookmarkStart w:id="1" w:name="__DdeLink__651_1064805603"/>
      <w:r>
        <w:rPr>
          <w:rFonts w:cs="Tahoma" w:ascii="Tahoma" w:hAnsi="Tahoma"/>
          <w:sz w:val="20"/>
          <w:szCs w:val="20"/>
        </w:rPr>
        <w:t>za pripravo ponudbe</w:t>
      </w:r>
      <w:bookmarkEnd w:id="1"/>
      <w:r>
        <w:rPr>
          <w:rFonts w:cs="Tahoma" w:ascii="Tahoma" w:hAnsi="Tahoma"/>
          <w:sz w:val="20"/>
          <w:szCs w:val="20"/>
        </w:rPr>
        <w:t xml:space="preserve"> tako, da se glasi:</w:t>
      </w:r>
    </w:p>
    <w:p>
      <w:pPr>
        <w:pStyle w:val="Telobesedila"/>
        <w:rPr>
          <w:rFonts w:ascii="Tahoma" w:hAnsi="Tahoma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  <w:t>»-</w:t>
      </w:r>
      <w:r>
        <w:rPr>
          <w:rFonts w:ascii="Tahoma" w:hAnsi="Tahoma"/>
          <w:b w:val="false"/>
          <w:caps w:val="false"/>
          <w:smallCaps w:val="false"/>
          <w:sz w:val="20"/>
          <w:szCs w:val="20"/>
        </w:rPr>
        <w:t xml:space="preserve">  </w:t>
      </w:r>
      <w:r>
        <w:rPr>
          <w:rFonts w:ascii="Tahoma" w:hAnsi="Tahoma"/>
          <w:b w:val="false"/>
          <w:sz w:val="20"/>
          <w:szCs w:val="20"/>
        </w:rPr>
        <w:t xml:space="preserve">v zadnjih desetih letih pred rokom za oddajo ponudb je kot vodja gradnje ali vodja del vsaj enkrat vodil: </w:t>
      </w:r>
    </w:p>
    <w:p>
      <w:pPr>
        <w:pStyle w:val="Telobesedila"/>
        <w:spacing w:before="60" w:after="0"/>
        <w:ind w:right="0" w:hanging="0"/>
        <w:rPr/>
      </w:pPr>
      <w:r>
        <w:rPr>
          <w:rFonts w:ascii="Tahoma" w:hAnsi="Tahoma"/>
          <w:b w:val="false"/>
          <w:sz w:val="20"/>
          <w:szCs w:val="20"/>
        </w:rPr>
        <w:tab/>
        <w:t xml:space="preserve">- </w:t>
      </w:r>
      <w:r>
        <w:rPr>
          <w:rFonts w:ascii="Tahoma" w:hAnsi="Tahoma"/>
          <w:b w:val="false"/>
          <w:caps w:val="false"/>
          <w:smallCaps w:val="false"/>
          <w:sz w:val="20"/>
          <w:szCs w:val="20"/>
        </w:rPr>
        <w:t xml:space="preserve"> </w:t>
      </w:r>
      <w:r>
        <w:rPr>
          <w:rFonts w:ascii="Tahoma" w:hAnsi="Tahoma"/>
          <w:b w:val="false"/>
          <w:sz w:val="20"/>
          <w:szCs w:val="20"/>
        </w:rPr>
        <w:t xml:space="preserve">novogradnjo ali rekonstrukcijo državne ali občinske ceste, v dolžini vsaj </w:t>
      </w:r>
      <w:r>
        <w:rPr>
          <w:rFonts w:ascii="Tahoma" w:hAnsi="Tahoma"/>
          <w:b/>
          <w:bCs/>
          <w:sz w:val="20"/>
          <w:szCs w:val="20"/>
        </w:rPr>
        <w:t>300 m</w:t>
      </w:r>
      <w:r>
        <w:rPr>
          <w:rFonts w:ascii="Tahoma" w:hAnsi="Tahoma"/>
          <w:b w:val="false"/>
          <w:sz w:val="20"/>
          <w:szCs w:val="20"/>
        </w:rPr>
        <w:t xml:space="preserve"> in širini vsaj 5 m </w:t>
        <w:tab/>
        <w:t>in izgradnjo vodovoda dolžine vsaj  300 m.«</w:t>
      </w:r>
    </w:p>
    <w:p>
      <w:pPr>
        <w:pStyle w:val="Telobesedila"/>
        <w:spacing w:before="60" w:after="0"/>
        <w:ind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Spremeni se alineja a) točke </w:t>
      </w:r>
      <w:r>
        <w:rPr>
          <w:rFonts w:ascii="Tahoma" w:hAnsi="Tahoma"/>
          <w:b/>
          <w:sz w:val="20"/>
          <w:szCs w:val="20"/>
        </w:rPr>
        <w:t>3.2.3.5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Navodil za pripravo ponudbe tako, da se glasi:</w:t>
      </w:r>
    </w:p>
    <w:p>
      <w:pPr>
        <w:pStyle w:val="Telobesedila"/>
        <w:rPr/>
      </w:pPr>
      <w:r>
        <w:rPr>
          <w:rFonts w:cs="Tahoma" w:ascii="Tahoma" w:hAnsi="Tahoma"/>
          <w:b w:val="false"/>
          <w:sz w:val="20"/>
          <w:szCs w:val="20"/>
        </w:rPr>
        <w:tab/>
        <w:t xml:space="preserve">»a) novogradnjo ali rekonstrukcijo državne ali občinske ceste, v dolžini vsaj </w:t>
      </w:r>
      <w:r>
        <w:rPr>
          <w:rFonts w:cs="Tahoma" w:ascii="Tahoma" w:hAnsi="Tahoma"/>
          <w:b/>
          <w:bCs/>
          <w:sz w:val="20"/>
          <w:szCs w:val="20"/>
        </w:rPr>
        <w:t>300 m</w:t>
      </w:r>
      <w:r>
        <w:rPr>
          <w:rFonts w:cs="Tahoma" w:ascii="Tahoma" w:hAnsi="Tahoma"/>
          <w:b w:val="false"/>
          <w:sz w:val="20"/>
          <w:szCs w:val="20"/>
        </w:rPr>
        <w:t xml:space="preserve"> in </w:t>
      </w:r>
      <w:r>
        <w:rPr/>
        <w:t xml:space="preserve"> </w:t>
      </w:r>
      <w:bookmarkEnd w:id="0"/>
      <w:r>
        <w:rPr>
          <w:b w:val="false"/>
          <w:sz w:val="20"/>
        </w:rPr>
        <w:t xml:space="preserve">širini vsaj </w:t>
        <w:tab/>
        <w:t>5m in izgradnjo vodovoda dolžine  vsaj 300 m«</w:t>
      </w:r>
    </w:p>
    <w:p>
      <w:pPr>
        <w:pStyle w:val="Telobesedila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/>
      </w:pPr>
      <w:r>
        <w:rPr>
          <w:rFonts w:ascii="Tahoma" w:hAnsi="Tahoma"/>
          <w:sz w:val="20"/>
          <w:szCs w:val="20"/>
        </w:rPr>
        <w:t xml:space="preserve">Objavljen bo čistopis Navodil  </w:t>
      </w:r>
      <w:r>
        <w:rPr>
          <w:rFonts w:cs="Tahoma" w:ascii="Tahoma" w:hAnsi="Tahoma"/>
          <w:sz w:val="20"/>
          <w:szCs w:val="20"/>
        </w:rPr>
        <w:t>za pripravo ponudbe.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284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SL Dutc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rPr>
        <w:sz w:val="16"/>
      </w:rPr>
    </w:pPr>
    <w:r>
      <w:rPr>
        <w:sz w:val="16"/>
      </w:rPr>
    </w:r>
  </w:p>
  <w:tbl>
    <w:tblPr>
      <w:tblW w:w="9430" w:type="dxa"/>
      <w:jc w:val="left"/>
      <w:tblInd w:w="0" w:type="dxa"/>
      <w:tblBorders>
        <w:top w:val="single" w:sz="4" w:space="0" w:color="00000A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614"/>
      <w:gridCol w:w="956"/>
      <w:gridCol w:w="1620"/>
      <w:gridCol w:w="3239"/>
    </w:tblGrid>
    <w:tr>
      <w:trPr>
        <w:trHeight w:val="785" w:hRule="atLeast"/>
        <w:cantSplit w:val="true"/>
      </w:trPr>
      <w:tc>
        <w:tcPr>
          <w:tcW w:w="3614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Telobesedila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w="956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rmal"/>
            <w:tabs>
              <w:tab w:val="right" w:pos="1247" w:leader="none"/>
            </w:tabs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  <w:tc>
        <w:tcPr>
          <w:tcW w:w="1620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ga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w="3239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ga"/>
            <w:jc w:val="right"/>
            <w:rPr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Fonts w:ascii="Arial" w:hAnsi="Arial"/>
              <w:sz w:val="16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ga"/>
      <w:rPr>
        <w:rFonts w:ascii="Arial" w:hAnsi="Arial"/>
        <w:sz w:val="2"/>
        <w:lang w:val="en-US"/>
      </w:rPr>
    </w:pPr>
    <w:r>
      <w:rPr>
        <w:rFonts w:ascii="Arial" w:hAnsi="Arial"/>
        <w:sz w:val="2"/>
        <w:lang w:val="en-US"/>
      </w:rPr>
    </w:r>
  </w:p>
  <w:p>
    <w:pPr>
      <w:pStyle w:val="Nog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ind w:firstLine="540"/>
      <w:rPr/>
    </w:pPr>
    <w:r>
      <w:rPr/>
      <w:t xml:space="preserve">  </w:t>
    </w:r>
    <w:r>
      <w:rPr/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</w:p>
  <w:p>
    <w:pPr>
      <w:pStyle w:val="Nog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l-SI" w:eastAsia="en-US" w:bidi="ar-SA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pletnapovezava">
    <w:name w:val="Spletna povezava"/>
    <w:uiPriority w:val="99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sz w:val="16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sz w:val="18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tabs>
        <w:tab w:val="left" w:pos="456" w:leader="none"/>
        <w:tab w:val="left" w:pos="1164" w:leader="none"/>
        <w:tab w:val="left" w:pos="3432" w:leader="none"/>
        <w:tab w:val="left" w:pos="9483" w:leader="none"/>
      </w:tabs>
    </w:pPr>
    <w:rPr>
      <w:rFonts w:ascii="Arial" w:hAnsi="Arial" w:cs="Arial"/>
      <w:color w:val="000000"/>
      <w:sz w:val="20"/>
      <w:szCs w:val="20"/>
    </w:rPr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Glava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ga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Vsebina1">
    <w:name w:val="TOC 1"/>
    <w:basedOn w:val="Naslov1"/>
    <w:autoRedefine/>
    <w:semiHidden/>
    <w:pPr/>
    <w:rPr>
      <w:lang w:eastAsia="sl-SI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pPr/>
    <w:rPr>
      <w:rFonts w:ascii="SL Dutch" w:hAnsi="SL Dutch"/>
      <w:sz w:val="20"/>
    </w:rPr>
  </w:style>
  <w:style w:type="paragraph" w:styleId="Zamiktelesabesedila">
    <w:name w:val="Body Text Indent"/>
    <w:basedOn w:val="Normal"/>
    <w:pPr>
      <w:tabs>
        <w:tab w:val="left" w:pos="284" w:leader="none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 w:hanging="0"/>
      <w:jc w:val="both"/>
    </w:pPr>
    <w:rPr>
      <w:sz w:val="22"/>
      <w:lang w:val="en-A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Application>LibreOffice/5.4.1.2$Windows_X86_64 LibreOffice_project/ea7cb86e6eeb2bf3a5af73a8f7777ac570321527</Application>
  <Pages>1</Pages>
  <Words>248</Words>
  <Characters>1327</Characters>
  <CharactersWithSpaces>1592</CharactersWithSpaces>
  <Paragraphs>24</Paragraphs>
  <Company>DRSC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2021-03-25T12:20:00Z</dcterms:created>
  <dc:creator>Sabina</dc:creator>
  <dc:description/>
  <dc:language>sl-SI</dc:language>
  <cp:lastModifiedBy/>
  <cp:lastPrinted>2021-03-25T12:20:00Z</cp:lastPrinted>
  <dcterms:modified xsi:type="dcterms:W3CDTF">2021-03-30T11:37:03Z</dcterms:modified>
  <cp:revision>5</cp:revision>
  <dc:subject/>
  <dc:title>Pojasnila razpisne dokumentacije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